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。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本年度报告所列数据的统计期间自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2022年1月1</w:t>
      </w:r>
      <w:r>
        <w:rPr>
          <w:rFonts w:hint="eastAsia" w:eastAsia="仿宋_GB2312"/>
          <w:sz w:val="32"/>
          <w:szCs w:val="32"/>
          <w:lang w:val="en-US" w:eastAsia="zh-CN"/>
        </w:rPr>
        <w:t>日起，至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2022年12月31</w:t>
      </w:r>
      <w:r>
        <w:rPr>
          <w:rFonts w:hint="eastAsia" w:eastAsia="仿宋_GB2312"/>
          <w:sz w:val="32"/>
          <w:szCs w:val="32"/>
          <w:lang w:val="en-US" w:eastAsia="zh-CN"/>
        </w:rPr>
        <w:t>日止。如对报告内容有疑问，请与淄博市城市管理局联系（地址：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淄博市张店区联通路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eastAsia="仿宋_GB2312"/>
          <w:sz w:val="32"/>
          <w:szCs w:val="32"/>
          <w:lang w:val="en-US" w:eastAsia="zh-CN"/>
        </w:rPr>
        <w:t>；邮编：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255020</w:t>
      </w:r>
      <w:r>
        <w:rPr>
          <w:rFonts w:hint="eastAsia" w:eastAsia="仿宋_GB2312"/>
          <w:sz w:val="32"/>
          <w:szCs w:val="32"/>
          <w:lang w:val="en-US" w:eastAsia="zh-CN"/>
        </w:rPr>
        <w:t>；电话：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2726397</w:t>
      </w:r>
      <w:r>
        <w:rPr>
          <w:rFonts w:hint="eastAsia" w:eastAsia="仿宋_GB2312"/>
          <w:sz w:val="32"/>
          <w:szCs w:val="32"/>
          <w:lang w:val="en-US" w:eastAsia="zh-CN"/>
        </w:rPr>
        <w:t>；邮箱：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instrText xml:space="preserve"> HYPERLINK "mailto:cgjbgs@zb.shandong.cn"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cgjbgs@zb.shandong.cn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年，在市委、市政府的正确领导下和市政务公开办的具体指导下，严格落实各项工作要求，着力提高工作水平和效率，圆满完成了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规范建设，提高政务公开质量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年在市政府网站发布信息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条，局门户网站公开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1149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条，广播电视报纸等媒体公开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条，微信微博等媒体公开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791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市城市管理局及时公开城乡环境大整治精细管理大提升、全域公园城市建设管理和生活垃圾分类等年度重点工作，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更新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发布领导信息、政策文件、财政预决算信息、公开招标等各类信息。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淄博市植物园提升改造项目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景观水质提升工程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主城区视觉一体化二期工程等城建重点项目，及时公开批准结果信息、招投标信息、施工信息、竣工信息等内容。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年，市城市管理局共参加新闻发布会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场，重点针对实施《淄博市生活垃圾分类管理办法》、全域公园城市建设情况、全市物业管理工作进展情况、大整治大提升行动成果介绍等内容，针对群众重点关注的信息进行解读，不断提高公开的主动性、针对性和时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247515" cy="2383155"/>
            <wp:effectExtent l="0" t="0" r="635" b="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依法依规，推动公开答复规范。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2022年，市城市管理局收到法人、公民依申请公开信息5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内容主要涉及城乡环境卫生规划、行政处罚等方面，数量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2021年持平，受理率和答复率均达到100%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。没有因政府信息公开引起的行政复议、行政诉讼等情况。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1442720</wp:posOffset>
            </wp:positionH>
            <wp:positionV relativeFrom="page">
              <wp:posOffset>1385570</wp:posOffset>
            </wp:positionV>
            <wp:extent cx="4841875" cy="3613150"/>
            <wp:effectExtent l="4445" t="4445" r="11430" b="20955"/>
            <wp:wrapTight wrapText="bothSides">
              <wp:wrapPolygon>
                <wp:start x="-20" y="-27"/>
                <wp:lineTo x="-20" y="21498"/>
                <wp:lineTo x="21566" y="21498"/>
                <wp:lineTo x="21566" y="-27"/>
                <wp:lineTo x="-20" y="-27"/>
              </wp:wrapPolygon>
            </wp:wrapTight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压实责任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强化公开保密审查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一方面进一步完善政府信息公开管理制度，根据年度工作要点及时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调整并公布政府信息主动公开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目录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,明确责任科室、时限要求和公开方式。另一方面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" w:eastAsia="仿宋_GB2312"/>
          <w:sz w:val="32"/>
          <w:szCs w:val="32"/>
        </w:rPr>
        <w:t>规范信息公开前的保密审查工作，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月份印发了《宣传报道和信息公开管理制度》，</w:t>
      </w:r>
      <w:r>
        <w:rPr>
          <w:rFonts w:hint="eastAsia" w:ascii="仿宋_GB2312" w:hAnsi="仿宋" w:eastAsia="仿宋_GB2312"/>
          <w:sz w:val="32"/>
          <w:szCs w:val="32"/>
        </w:rPr>
        <w:t>保障政府信息公开工作的顺利进行，防止在信息公开过程中泄露国家秘密和其他不应该公开的信息。</w:t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3503930"/>
            <wp:effectExtent l="0" t="0" r="2540" b="12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Style w:val="9"/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用好载体，完善政务公开形式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一是充分发挥政府门户网站主阵地作用，按照内容权威、格式规范、体例统一的要求，把政府网站作为政务公开第一平台，严格按照平台栏目设置情况公开信息。二是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紧紧围绕群众关心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城管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领域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热点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难点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问题全力做好平台运维，不断强化政府网站与政务新媒体管理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充实政务公开工作力量，及时将城市管理相关信息公开，提高城市管理的透明度，主动接受社会对行业的监督，让权利在阳关下运行，切实保障人民群众的知情权。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（五）强化监督，确保政务公开落实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一是强化组织领导。调整政府信息公开领导小组，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局主要领导负总责，局分管领导具体抓，局办公室负责政务公开工作的考核，综合协调相关科室、单位落实政务信息公开工作。二是强化责任分工。印发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年度市城市管理局政务公开重点工作任务分解表，明确各科室、单位。三是强化问题整改。及时督促整改政府网站及政务新媒体反馈的问题，对因工作不力造成不良影响的从严追究相关责任。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组织业务培训，提升各科室工作人员业务水平，推进政务公开工作贯彻落实。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二、主动公开政府信息情况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lang w:val="en-US" w:eastAsia="zh-CN"/>
        </w:rPr>
      </w:pP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制发件数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废止件数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tbl>
      <w:tblPr>
        <w:tblStyle w:val="7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3496"/>
        <w:gridCol w:w="673"/>
        <w:gridCol w:w="729"/>
        <w:gridCol w:w="771"/>
        <w:gridCol w:w="795"/>
        <w:gridCol w:w="795"/>
        <w:gridCol w:w="435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6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50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1．属于国家秘密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2．其他法律行政法规禁止公开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3．危及“三安全一稳定”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4．保护第三方合法权益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5．属于三类内部事务信息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6．属于四类过程性信息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7．属于行政执法案卷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8．属于行政查询事项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1．本机关不掌握相关政府信息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2．没有现成信息需要另行制作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3．补正后申请内容仍不明确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1．信访举报投诉类申请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2．重复申请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3．要求提供公开出版物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4．无正当理由大量反复申请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5．要求行政机关确认或重新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出具已获取信息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1.申请人无正当理由逾期不补正，行政机关不再处理其政府信息公开申请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因</w:t>
      </w:r>
      <w:r>
        <w:rPr>
          <w:rFonts w:hint="eastAsia" w:ascii="黑体" w:hAnsi="黑体" w:eastAsia="黑体" w:cs="黑体"/>
          <w:sz w:val="32"/>
          <w:szCs w:val="32"/>
        </w:rPr>
        <w:t>政府信息公开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工作被申请</w:t>
      </w:r>
      <w:r>
        <w:rPr>
          <w:rFonts w:hint="eastAsia" w:ascii="黑体" w:hAnsi="黑体" w:eastAsia="黑体" w:cs="黑体"/>
          <w:sz w:val="32"/>
          <w:szCs w:val="32"/>
        </w:rPr>
        <w:t>行政复议、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提起</w:t>
      </w:r>
      <w:r>
        <w:rPr>
          <w:rFonts w:hint="eastAsia" w:ascii="黑体" w:hAnsi="黑体" w:eastAsia="黑体" w:cs="黑体"/>
          <w:sz w:val="32"/>
          <w:szCs w:val="32"/>
        </w:rPr>
        <w:t>行政诉讼情况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tbl>
      <w:tblPr>
        <w:tblStyle w:val="7"/>
        <w:tblW w:w="10188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45"/>
        <w:jc w:val="both"/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我局高度重视政务公开工作，但在实践中与该项工作的高标准、严要求相比，还存在一些不足，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一是部门信息公开发布的质量需进一步提高，信息公开时效还有待于进一步加强；二是公开内容深度不够，部分政策文件解读质量不高。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45"/>
        <w:jc w:val="both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针对存在问题，我们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不断完善各项工作制度,强化内部统筹协调，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和改进政府信息公开工作。一是统一思想，提高认识。深刻认识政府信息公开工作的重要性和必要性，把信息公开作为一项长期工作，提高本部门政府工作的透明度。二是压实工作责任，加强业务能力提升。根据工作职责和责任分工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政务公开业务知识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，着力提升政务公开工作水平。三是提升政策解读质量。准确、形象、生动地解读政策文件，提高针对性、时效性，不断提高主动公开信息发布质量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无收取政府信息公开信息处理费的情况。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2.2022年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共收到市人大代表建议和政协委员提案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现已全部办理完毕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同时对办理结果进行了网上公开。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3.2022年市城市管理局结合全市政务公开年度工作方案，制定并落实《淄博市城市管理局2022年度政务公开工作实施方案》，强化工作职责，推进决策公开。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4.制定印发了《淄博市城市管理局宣传报道和信息公开管理制度》，</w:t>
      </w:r>
      <w:r>
        <w:rPr>
          <w:rFonts w:hint="eastAsia" w:ascii="仿宋_GB2312" w:hAnsi="仿宋" w:eastAsia="仿宋_GB2312"/>
          <w:sz w:val="32"/>
          <w:szCs w:val="32"/>
        </w:rPr>
        <w:t>规范信息公开前的保密审查工作，保障政府信息公开工作的顺利进行，防止在信息公开过程中泄露国家秘密和其他不应该公开的信息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年度结合城管系统政务公开工作方案，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5期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“全民城管·市民代表看城市变化”系列活动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让市民代表们切身体验城市精细化管理取得的成效，进一步了解政务公开工作动态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淄博市城市管理局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eastAsia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E76AE"/>
    <w:rsid w:val="11465C2B"/>
    <w:rsid w:val="23853070"/>
    <w:rsid w:val="399D2553"/>
    <w:rsid w:val="3AD74EE2"/>
    <w:rsid w:val="425E0AA4"/>
    <w:rsid w:val="447E76AE"/>
    <w:rsid w:val="512807C3"/>
    <w:rsid w:val="5CA75BEC"/>
    <w:rsid w:val="5D736B03"/>
    <w:rsid w:val="6D6B4E0E"/>
    <w:rsid w:val="72091E59"/>
    <w:rsid w:val="722C3FF3"/>
    <w:rsid w:val="74682C6F"/>
    <w:rsid w:val="D728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ysClr val="windowText" lastClr="000000"/>
                </a:solidFill>
                <a:latin typeface="黑体" panose="02010600030101010101" charset="-122"/>
                <a:ea typeface="黑体" panose="02010600030101010101" charset="-122"/>
              </a:rPr>
              <a:t>历年依申请公开数据统计图</a:t>
            </a:r>
            <a:endParaRPr>
              <a:solidFill>
                <a:sysClr val="windowText" lastClr="000000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收到申请件数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按时答复件数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69781"/>
        <c:axId val="22050113"/>
      </c:barChart>
      <c:catAx>
        <c:axId val="47756978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050113"/>
        <c:crosses val="autoZero"/>
        <c:auto val="1"/>
        <c:lblAlgn val="ctr"/>
        <c:lblOffset val="100"/>
        <c:noMultiLvlLbl val="0"/>
      </c:catAx>
      <c:valAx>
        <c:axId val="2205011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756978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2023-01-07T11:33:00Z</dcterms:created>
  <dc:creator>盒饭</dc:creator>
  <cp:lastModifiedBy>盒饭</cp:lastModifiedBy>
  <cp:lastPrinted>2023-01-12T13:43:00Z</cp:lastPrinted>
  <dcterms:modified xsi:type="dcterms:W3CDTF">2023-02-08T08:22:19Z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0B91819AACC2429A8E94274CE492326B</vt:lpwstr>
  </property>
</Properties>
</file>